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6F29314" w14:paraId="4233F218" wp14:textId="77777777" wp14:noSpellErr="1">
      <w:pPr>
        <w:pStyle w:val="Heading1"/>
        <w:rPr>
          <w:rFonts w:ascii="Calibri" w:hAnsi="Calibri" w:eastAsia="Calibri" w:cs="Calibri" w:asciiTheme="majorAscii" w:hAnsiTheme="majorAscii" w:eastAsiaTheme="majorAscii" w:cstheme="majorAscii"/>
          <w:color w:val="auto"/>
        </w:rPr>
      </w:pP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Grille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d’évaluation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–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Réinterprétation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contemporaine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de la Toile de Jouy</w:t>
      </w:r>
    </w:p>
    <w:p w:rsidR="58737629" w:rsidP="06F29314" w:rsidRDefault="58737629" w14:paraId="66478879" w14:textId="2102B87F">
      <w:pPr>
        <w:rPr>
          <w:rFonts w:ascii="Calibri" w:hAnsi="Calibri" w:eastAsia="Calibri" w:cs="Calibri" w:asciiTheme="majorAscii" w:hAnsiTheme="majorAscii" w:eastAsiaTheme="majorAscii" w:cstheme="majorAscii"/>
          <w:color w:val="auto"/>
        </w:rPr>
      </w:pPr>
    </w:p>
    <w:p xmlns:wp14="http://schemas.microsoft.com/office/word/2010/wordml" w:rsidP="06F29314" w14:paraId="1E67F247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  <w:color w:val="auto"/>
        </w:rPr>
      </w:pP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Cette grille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d’évaluation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est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organisée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par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pôles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du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référentiel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Bac Pro Arts appliqués et cultures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artistiques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. Elle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permet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d’évaluer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les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compétences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mobilisées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dans la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réinterprétation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d’un motif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ancien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(Toile de Jouy) dans le cadre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d'une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>commande</w:t>
      </w:r>
      <w:r w:rsidRPr="06F29314" w:rsidR="06F29314">
        <w:rPr>
          <w:rFonts w:ascii="Calibri" w:hAnsi="Calibri" w:eastAsia="Calibri" w:cs="Calibri" w:asciiTheme="majorAscii" w:hAnsiTheme="majorAscii" w:eastAsiaTheme="majorAscii" w:cstheme="majorAscii"/>
          <w:color w:val="auto"/>
        </w:rPr>
        <w:t xml:space="preserve"> fictive.</w:t>
      </w:r>
    </w:p>
    <w:p w:rsidR="58737629" w:rsidP="06F29314" w:rsidRDefault="58737629" w14:paraId="327711ED" w14:textId="720C50CC">
      <w:pPr>
        <w:rPr>
          <w:rFonts w:ascii="Calibri" w:hAnsi="Calibri" w:eastAsia="Calibri" w:cs="Calibri" w:asciiTheme="majorAscii" w:hAnsiTheme="majorAscii" w:eastAsiaTheme="majorAscii" w:cstheme="majorAscii"/>
          <w:color w:val="auto"/>
        </w:rPr>
      </w:pPr>
    </w:p>
    <w:tbl>
      <w:tblPr>
        <w:tblStyle w:val="TableGrid"/>
        <w:tblW w:w="8750" w:type="dxa"/>
        <w:tblLook w:val="04A0" w:firstRow="1" w:lastRow="0" w:firstColumn="1" w:lastColumn="0" w:noHBand="0" w:noVBand="1"/>
      </w:tblPr>
      <w:tblGrid>
        <w:gridCol w:w="2730"/>
        <w:gridCol w:w="2970"/>
        <w:gridCol w:w="3050"/>
      </w:tblGrid>
      <w:tr xmlns:wp14="http://schemas.microsoft.com/office/word/2010/wordml" w:rsidTr="06F29314" w14:paraId="12ADBA4E" wp14:textId="77777777">
        <w:trPr>
          <w:trHeight w:val="480"/>
        </w:trPr>
        <w:tc>
          <w:tcPr>
            <w:tcW w:w="2730" w:type="dxa"/>
            <w:shd w:val="clear" w:color="auto" w:fill="DAE8F8"/>
            <w:tcMar/>
            <w:vAlign w:val="center"/>
          </w:tcPr>
          <w:p w:rsidP="06F29314" w14:paraId="2127A0D7" wp14:textId="07CFDF6C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>Pôle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 xml:space="preserve"> </w:t>
            </w:r>
          </w:p>
        </w:tc>
        <w:tc>
          <w:tcPr>
            <w:tcW w:w="2970" w:type="dxa"/>
            <w:shd w:val="clear" w:color="auto" w:fill="DAE8F8"/>
            <w:tcMar/>
            <w:vAlign w:val="center"/>
          </w:tcPr>
          <w:p w:rsidP="06F29314" w14:paraId="4DFDB359" wp14:textId="77777777" wp14:noSpellErr="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>Compétence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>évaluée</w:t>
            </w:r>
          </w:p>
        </w:tc>
        <w:tc>
          <w:tcPr>
            <w:tcW w:w="3050" w:type="dxa"/>
            <w:shd w:val="clear" w:color="auto" w:fill="DAE8F8"/>
            <w:tcMar/>
            <w:vAlign w:val="center"/>
          </w:tcPr>
          <w:p w:rsidP="06F29314" w14:paraId="2740F36A" wp14:textId="77777777" wp14:noSpellErr="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>Critères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</w:rPr>
              <w:t>d’évaluation</w:t>
            </w:r>
          </w:p>
        </w:tc>
      </w:tr>
      <w:tr xmlns:wp14="http://schemas.microsoft.com/office/word/2010/wordml" w:rsidTr="06F29314" w14:paraId="5185155B" wp14:textId="77777777">
        <w:trPr>
          <w:trHeight w:val="1455"/>
        </w:trPr>
        <w:tc>
          <w:tcPr>
            <w:tcW w:w="2730" w:type="dxa"/>
            <w:vMerge w:val="restart"/>
            <w:tcMar/>
            <w:vAlign w:val="center"/>
          </w:tcPr>
          <w:p w:rsidP="06F29314" w14:paraId="2FF0BE90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S’approprier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une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démarche de conception</w:t>
            </w:r>
          </w:p>
        </w:tc>
        <w:tc>
          <w:tcPr>
            <w:tcW w:w="2970" w:type="dxa"/>
            <w:tcMar/>
            <w:vAlign w:val="center"/>
          </w:tcPr>
          <w:p w:rsidP="06F29314" w14:paraId="790513EC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Travailler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une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narration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contemporaine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à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partir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d’un motif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classique</w:t>
            </w:r>
          </w:p>
        </w:tc>
        <w:tc>
          <w:tcPr>
            <w:tcW w:w="3050" w:type="dxa"/>
            <w:tcMar/>
            <w:vAlign w:val="center"/>
          </w:tcPr>
          <w:p w:rsidP="06F29314" w14:paraId="2EFBDECD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Narration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cohérente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transposition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claire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vocabulaire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adapté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texte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structuré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.</w:t>
            </w:r>
          </w:p>
        </w:tc>
      </w:tr>
      <w:tr xmlns:wp14="http://schemas.microsoft.com/office/word/2010/wordml" w:rsidTr="06F29314" w14:paraId="3AA61B5A" wp14:textId="77777777">
        <w:trPr>
          <w:trHeight w:val="1545"/>
        </w:trPr>
        <w:tc>
          <w:tcPr>
            <w:tcW w:w="2730" w:type="dxa"/>
            <w:vMerge/>
            <w:tcMar/>
          </w:tcPr>
          <w:p w14:paraId="1217BE7C" wp14:textId="77777777">
            <w:r>
              <w:t>S’approprier une démarche de conception</w:t>
            </w:r>
          </w:p>
        </w:tc>
        <w:tc>
          <w:tcPr>
            <w:tcW w:w="2970" w:type="dxa"/>
            <w:tcMar/>
            <w:vAlign w:val="center"/>
          </w:tcPr>
          <w:p w:rsidP="06F29314" w14:paraId="077F356E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Explorer des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pistes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graphiques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en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lien avec la narration</w:t>
            </w:r>
          </w:p>
        </w:tc>
        <w:tc>
          <w:tcPr>
            <w:tcW w:w="3050" w:type="dxa"/>
            <w:tcMar/>
            <w:vAlign w:val="center"/>
          </w:tcPr>
          <w:p w:rsidP="06F29314" w14:paraId="4C07BC0C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Lien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clair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entre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texte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et image, pertinence du style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graphique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respect de la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scène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imaginée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.</w:t>
            </w:r>
          </w:p>
        </w:tc>
      </w:tr>
      <w:tr xmlns:wp14="http://schemas.microsoft.com/office/word/2010/wordml" w:rsidTr="06F29314" w14:paraId="3F1F11EF" wp14:textId="77777777">
        <w:tc>
          <w:tcPr>
            <w:tcW w:w="2730" w:type="dxa"/>
            <w:vMerge w:val="restart"/>
            <w:tcMar/>
            <w:vAlign w:val="center"/>
          </w:tcPr>
          <w:p w:rsidP="06F29314" w14:paraId="38BF9E7B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Réalisation</w:t>
            </w:r>
          </w:p>
        </w:tc>
        <w:tc>
          <w:tcPr>
            <w:tcW w:w="2970" w:type="dxa"/>
            <w:tcMar/>
            <w:vAlign w:val="center"/>
          </w:tcPr>
          <w:p w:rsidP="06F29314" w14:paraId="7A7D7A3E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Traduire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la narration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en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image dans le style de la Toile de Jouy</w:t>
            </w:r>
          </w:p>
        </w:tc>
        <w:tc>
          <w:tcPr>
            <w:tcW w:w="3050" w:type="dxa"/>
            <w:tcMar/>
            <w:vAlign w:val="center"/>
          </w:tcPr>
          <w:p w:rsidP="06F29314" w14:paraId="1547A38E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Respect du cahier des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charges :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bichromie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niveau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détail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style gravure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ligne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claire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composition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efficace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.</w:t>
            </w:r>
          </w:p>
        </w:tc>
      </w:tr>
      <w:tr xmlns:wp14="http://schemas.microsoft.com/office/word/2010/wordml" w:rsidTr="06F29314" w14:paraId="5768FF5D" wp14:textId="77777777">
        <w:tc>
          <w:tcPr>
            <w:tcW w:w="2730" w:type="dxa"/>
            <w:vMerge/>
            <w:tcMar/>
          </w:tcPr>
          <w:p w14:paraId="334D6CF6" wp14:textId="77777777">
            <w:r>
              <w:t>Réalisation</w:t>
            </w:r>
          </w:p>
        </w:tc>
        <w:tc>
          <w:tcPr>
            <w:tcW w:w="2970" w:type="dxa"/>
            <w:tcMar/>
            <w:vAlign w:val="center"/>
          </w:tcPr>
          <w:p w:rsidP="06F29314" w14:paraId="3F320346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Numériser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correctement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le dessin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l’illustration</w:t>
            </w:r>
          </w:p>
        </w:tc>
        <w:tc>
          <w:tcPr>
            <w:tcW w:w="3050" w:type="dxa"/>
            <w:tcMar/>
            <w:vAlign w:val="center"/>
          </w:tcPr>
          <w:p w:rsidP="06F29314" w14:paraId="258D3AD4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Bonne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qualité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numérisation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(photo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nette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export propre), fond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blanc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format JPEG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PNG exploitable.</w:t>
            </w:r>
          </w:p>
        </w:tc>
      </w:tr>
      <w:tr xmlns:wp14="http://schemas.microsoft.com/office/word/2010/wordml" w:rsidTr="06F29314" w14:paraId="1CC47FE1" wp14:textId="77777777">
        <w:tc>
          <w:tcPr>
            <w:tcW w:w="2730" w:type="dxa"/>
            <w:vMerge/>
            <w:tcMar/>
          </w:tcPr>
          <w:p w14:paraId="131CBB07" wp14:textId="77777777">
            <w:r>
              <w:t>Réalisation</w:t>
            </w:r>
          </w:p>
        </w:tc>
        <w:tc>
          <w:tcPr>
            <w:tcW w:w="2970" w:type="dxa"/>
            <w:tcMar/>
            <w:vAlign w:val="center"/>
          </w:tcPr>
          <w:p w:rsidP="06F29314" w14:paraId="7F8C5029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Mettre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en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situation le motif sur un support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simulé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(mockup)</w:t>
            </w:r>
          </w:p>
        </w:tc>
        <w:tc>
          <w:tcPr>
            <w:tcW w:w="3050" w:type="dxa"/>
            <w:tcMar/>
            <w:vAlign w:val="center"/>
          </w:tcPr>
          <w:p w:rsidP="06F29314" w14:paraId="75B5C74B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Motif bien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intégré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choix du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produit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pertinent,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qualité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de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l’incrustation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lisibilité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du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rendu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.</w:t>
            </w:r>
          </w:p>
        </w:tc>
      </w:tr>
      <w:tr xmlns:wp14="http://schemas.microsoft.com/office/word/2010/wordml" w:rsidTr="06F29314" w14:paraId="70536422" wp14:textId="77777777">
        <w:trPr>
          <w:trHeight w:val="1665"/>
        </w:trPr>
        <w:tc>
          <w:tcPr>
            <w:tcW w:w="2730" w:type="dxa"/>
            <w:tcMar/>
            <w:vAlign w:val="center"/>
          </w:tcPr>
          <w:p w:rsidP="06F29314" w14:paraId="25B5DE22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Communiquer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son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analyse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ses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intentions</w:t>
            </w:r>
          </w:p>
        </w:tc>
        <w:tc>
          <w:tcPr>
            <w:tcW w:w="2970" w:type="dxa"/>
            <w:tcMar/>
            <w:vAlign w:val="center"/>
          </w:tcPr>
          <w:p w:rsidP="06F29314" w14:paraId="3DA6AC30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Présenter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son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projet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à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l’oral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ou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à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l’écrit</w:t>
            </w:r>
          </w:p>
        </w:tc>
        <w:tc>
          <w:tcPr>
            <w:tcW w:w="3050" w:type="dxa"/>
            <w:tcMar/>
            <w:vAlign w:val="center"/>
          </w:tcPr>
          <w:p w:rsidP="06F29314" w14:paraId="2AE244F1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</w:pP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Présentation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claire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vocabulaire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spécifique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, justification des choix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graphiques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 xml:space="preserve"> et 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narratifs</w:t>
            </w:r>
            <w:r w:rsidRPr="06F29314" w:rsidR="06F2931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</w:rPr>
              <w:t>.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F29314"/>
    <w:rsid w:val="33751AAB"/>
    <w:rsid w:val="58737629"/>
    <w:rsid w:val="5BB14ACD"/>
    <w:rsid w:val="6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9743CC1-E0F5-459A-8F8D-C80C75A62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2025-05-14T14:15:52.2095463Z</dcterms:modified>
  <category/>
</coreProperties>
</file>